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BayJG (Bayern) — Wildpark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Wildgehege, in denen Schalenwild zu Jagdzwecken gehegt und durch Jagdhandlungen genutzt wird, können als Wildpark (§ 20 Abs. 2 BJagdG) anerkannt werden. Die oberste Jagdbehörde wird ermächtigt, die Voraussetzungen der Anerkennung durch Rechtsverordnung zu regeln.</w:t>
      </w:r>
    </w:p>
    <w:p>
      <w:r>
        <w:t xml:space="preserve">(2) Die Bezeichnung „Wildpark“ darf nur für die nach Abs. 1 Satz 1 anerkannten Wildgehege verwendet werden.</w:t>
      </w:r>
    </w:p>
    <w:p>
      <w:r>
        <w:rPr>
          <w:color w:val="555555"/>
          <w:sz w:val="17"/>
        </w:rPr>
        <w:t xml:space="preserve">Zitiervorschlag: Art 24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