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22 BayJG (Bayern) — Schutz der Nist-, Brut- und Zufluchtstätten des Wildes</w:t>
      </w:r>
    </w:p>
    <w:p>
      <w:r>
        <w:rPr>
          <w:color w:val="555555"/>
          <w:sz w:val="18"/>
        </w:rPr>
        <w:t xml:space="preserve">Bayerisches Jagdgesetz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Der Revierinhaber ist befugt, mit Genehmigung der Jagdbehörde Bild- und Schrifttafeln anzubringen, die auf die nach Art. 29 Abs. 2 Nr. 1 Buchst. o geschützten Zuflucht-, Nist-, Brut- und Wohnstätten des Wildes sowie auf die Folgen eines Verstoßes gegen diese Vorschrift (Art. 56 Abs. 1 Nr. 5) hinweisen. Durch die Hinweistafeln darf das Landschaftsbild nicht verunstaltet werden.</w:t>
      </w:r>
    </w:p>
    <w:p>
      <w:r>
        <w:t xml:space="preserve">(2) Verboten ist, die Nester und Gelege des Federwildes zu beschädigen, wegzunehmen oder zu zerstören.</w:t>
      </w:r>
    </w:p>
    <w:p>
      <w:r>
        <w:rPr>
          <w:color w:val="555555"/>
          <w:sz w:val="17"/>
        </w:rPr>
        <w:t xml:space="preserve">Zitiervorschlag: Art 22 BayJG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https://recht.nulegal.eu/gesetze/BayJG/22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