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BayJG (Bayern) — Jagdnutzung</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Jagdgenossenschaft kann die Verpachtung insbesondere auf den Kreis der Jagdgenossen (§ 10 Abs. 1 Satz 2 BJagdG) oder der jagdpachtfähigen Personen beschränken, die ihre Hauptwohnung in einer bestimmten Höchstentfernung zum Jagdrevier haben. Sie kann außerdem ihre Zustimmung zur Weiter- und Unterverpachtung sowie zur Erteilung entgeltlicher Dauerjagderlaubnisscheine (Art. 15 Abs. 2, Art. 17 Abs. 2 Satz 1) davon abhängig machen, daß ortsansässige jagdpachtfähige Personen angemessen berücksichtigt werden. Die Inhaber von Dauerjagderlaubnisscheinen sind dem Jagdvorsteher mitzuteilen. Die oberste Jagdbehörde wird ermächtigt, durch Rechtsverordnung Vorschriften über die Art der Verpachtung von Gemeinschaftsjagdrevieren (z.B. öffentliche Versteigerung, öffentliche Ausbietung, freihändige Vergabe) und das dabei anzuwendende Verfahren zu erlassen.</w:t>
      </w:r>
    </w:p>
    <w:p>
      <w:r>
        <w:t xml:space="preserve">(2) Wird die Jagd durch angestellte Jäger ausgeübt, so dürfen nicht mehr Personen angestellt werden, als nach Art. 15 Abs. 1 Jagdpächter sein dürfen.</w:t>
      </w:r>
    </w:p>
    <w:p>
      <w:r>
        <w:rPr>
          <w:color w:val="555555"/>
          <w:sz w:val="17"/>
        </w:rPr>
        <w:t xml:space="preserve">Zitiervorschlag: Art 12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