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BayJAVollzG (Bayern) — Verlegung, Überstellung</w:t>
      </w:r>
    </w:p>
    <w:p>
      <w:r>
        <w:rPr>
          <w:color w:val="555555"/>
          <w:sz w:val="18"/>
        </w:rPr>
        <w:t xml:space="preserve">Bayerisches Jugendarrestvollzugsgesetz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Art. 10 BayStVollzG gilt entsprechend. Eine Verlegung zur Förderung der Eingliederung nach der Entlassung findet nicht statt.</w:t>
      </w:r>
    </w:p>
    <w:p>
      <w:r>
        <w:t xml:space="preserve">(2) Jugendliche dürfen aus medizinischem oder anderem wichtigen Grund in eine andere Jugendarrestanstalt, eine Jugendstrafvollzugsanstalt oder eine für den Vollzug der Freiheitsstrafe zuständige Anstalt überstellt werden.</w:t>
      </w:r>
    </w:p>
    <w:p>
      <w:r>
        <w:t xml:space="preserve">(3) Art. 131 Abs. 4 BayStVollzG gilt entsprechend.</w:t>
      </w:r>
    </w:p>
    <w:p>
      <w:r>
        <w:rPr>
          <w:color w:val="555555"/>
          <w:sz w:val="17"/>
        </w:rPr>
        <w:t xml:space="preserve">Zitiervorschlag: Art 9 BayJAVollzG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https://recht.nulegal.eu/gesetze/BayJAVollzG/9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