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BayJAVollzG (Bayern) — Unterbringung während der Ruhezeiten, Trennungsgebot</w:t>
      </w:r>
    </w:p>
    <w:p>
      <w:r>
        <w:rPr>
          <w:color w:val="555555"/>
          <w:sz w:val="18"/>
        </w:rPr>
        <w:t xml:space="preserve">Bayerisches Jugendarrestvollzugsgesetz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Weibliche und männliche Jugendliche werden getrennt untergebracht. Im Übrigen gilt Art. 20 Abs. 1 und 2 BayStVollzG mit der Maßgabe entsprechend, dass der gemeinsamen Unterbringung nach Art. 20 Abs. 1 Satz 2 BayStVollzG keine erzieherischen Gründe entgegenstehen dürfen. Art. 166 Abs. 4 BayStVollzG gilt entsprechend.</w:t>
      </w:r>
    </w:p>
    <w:p>
      <w:r>
        <w:rPr>
          <w:color w:val="555555"/>
          <w:sz w:val="17"/>
        </w:rPr>
        <w:t xml:space="preserve">Zitiervorschlag: Art 8 BayJAVollzG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https://recht.nulegal.eu/gesetze/BayJAVollzG/8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