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37 BayJAVollzG (Bayern) — Jugendarrest neben Jugendstrafe</w:t>
      </w:r>
    </w:p>
    <w:p>
      <w:r>
        <w:rPr>
          <w:color w:val="555555"/>
          <w:sz w:val="18"/>
        </w:rPr>
        <w:t xml:space="preserve">Bayerisches Jugendarrestvollzugsgesetz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Bei der Gestaltung des Vollzugs des Jugendarrestes neben Jugendstrafe nach § 16a JGG sind insbesondere bei den Einzel- und Gruppenmaßnahmen nach Art. 3 Abs. 2 Satz 1 die in § 16a Abs. 1 Nr. 1 bis 3 JGG genannten Anordnungsgründe zu berücksichtigen.</w:t>
      </w:r>
    </w:p>
    <w:p>
      <w:r>
        <w:t xml:space="preserve">(2) Für den Vollzug des Jugendarrestes neben Jugendstrafe in Form eines Freizeit- oder Kurzarrestes gilt zusätzlich Art. 35. Ein Schlussbericht nach Art. 25 Abs. 1 soll erstellt werden.</w:t>
      </w:r>
    </w:p>
    <w:p>
      <w:r>
        <w:rPr>
          <w:color w:val="555555"/>
          <w:sz w:val="17"/>
        </w:rPr>
        <w:t xml:space="preserve">Zitiervorschlag: Art 37 BayJAVollzG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https://recht.nulegal.eu/gesetze/BayJAVollzG/37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37 BayJAVollzG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