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33 BayJAVollzG (Bayern) — Kriminologische Forschung</w:t>
      </w:r>
    </w:p>
    <w:p>
      <w:r>
        <w:rPr>
          <w:color w:val="555555"/>
          <w:sz w:val="18"/>
        </w:rPr>
        <w:t xml:space="preserve">Bayerisches Jugendarrestvollzugsgesetz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Art. 189 BayStVollzG gilt entsprechend.</w:t>
      </w:r>
    </w:p>
    <w:p>
      <w:r>
        <w:rPr>
          <w:color w:val="555555"/>
          <w:sz w:val="17"/>
        </w:rPr>
        <w:t xml:space="preserve">Zitiervorschlag: Art 33 BayJAVollzG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https://recht.nulegal.eu/gesetze/BayJAVollzG/33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