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32 BayJAVollzG (Bayern) — Beiräte</w:t>
      </w:r>
    </w:p>
    <w:p>
      <w:r>
        <w:rPr>
          <w:color w:val="555555"/>
          <w:sz w:val="18"/>
        </w:rPr>
        <w:t xml:space="preserve">Bayerisches Jugendarrestvollzugsgesetz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Für jede Anstalt ist ein nach Art. 185 BayStVollzG gebildeter Beirat zuständig. Die Zuordnung erfolgt durch die Aufsichtsbehörde.</w:t>
      </w:r>
    </w:p>
    <w:p>
      <w:r>
        <w:t xml:space="preserve">(2) Die Art. 186 bis 188 BayStVollzG gelten entsprechend.</w:t>
      </w:r>
    </w:p>
    <w:p>
      <w:r>
        <w:rPr>
          <w:color w:val="555555"/>
          <w:sz w:val="17"/>
        </w:rPr>
        <w:t xml:space="preserve">Zitiervorschlag: Art 32 BayJAVollzG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https://recht.nulegal.eu/gesetze/BayJAVollzG/32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