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BayIntVerstV (Bayern) — Verfahren</w:t>
      </w:r>
    </w:p>
    <w:p>
      <w:r>
        <w:rPr>
          <w:color w:val="555555"/>
          <w:sz w:val="18"/>
        </w:rPr>
        <w:t xml:space="preserve">Bayerische Internetversteigerungsverordnung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Meistbietende wird über die Ablieferungs- und Zahlungsmodalitäten per E-Mail nochmals informiert. Kaufgeld und anfallende Versandkosten sind spätestens zehn Tage nach Absendung der E-Mail gemäß Satz 1 zu zahlen. Die zugeschlagene Sache darf nur abgeliefert werden, wenn Kaufgeld und anfallende Versandkosten gezahlt worden sind oder bei Ablieferung gezahlt werden. Wird die zugeschlagene Sache übersandt, so gilt die Ablieferung mit der Übergabe an die zur Ausführung der Versendung bestimmte Person als bewirkt.</w:t>
      </w:r>
    </w:p>
    <w:p>
      <w:r>
        <w:rPr>
          <w:color w:val="555555"/>
          <w:sz w:val="17"/>
        </w:rPr>
        <w:t xml:space="preserve">Zitiervorschlag: § 7 BayIntVerstV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https://recht.nulegal.eu/gesetze/BayIntVerstV/7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