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Präambel BayIntG (Bayern)</w:t>
      </w:r>
    </w:p>
    <w:p>
      <w:r>
        <w:rPr>
          <w:color w:val="555555"/>
          <w:sz w:val="18"/>
        </w:rPr>
        <w:t xml:space="preserve">Bayerisches Integrationsgesetz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Bayern ist Teil der deutschen Nation mit gemeinsamer Sprache und Kultur. Es ist tief eingewurzelt in Werte und Traditionen des gemeinsamen christlichen Abendlandes und weiß zugleich um den jüdischen Beitrag zu seiner Identität. Die Würde des Menschen, die Freiheit der Person, die Gleichheit und Gleichberechtigung aller Menschen, das Recht jedes Einzelnen auf ein selbstbestimmtes, aber auch selbstverantwortliches Leben und die Unterscheidung von Staat und Religion sind als Frucht der Aufklärung tragende Grundlage unserer Rechts- und Gesellschaftsordnung. Die nationalsozialistische Willkürherrschaft, die Verbrechen des Dritten Reichs und die Schrecken des Zweiten Weltkrieges haben gelehrt, dass allein eine grundrechtlich ausgerichtete Herrschaft des Rechts vor Terror, Diktatur und Spaltung bewahrt und Voraussetzung für Frieden und Freiheit ist. Jeder Einzelne ist daher zur Wahrung des Rechts und zur Loyalität gegenüber Volk und Verfassung, Staat und Gesetzen verpflichtet. Die demokratische Verfasstheit des Gemeinwesens bindet umgekehrt alle Staatsgewalt an die Stimme des Volkes. Die Solidarität mit den Schwächeren und Hilfsbedürftigen ist Gebot der Gemeinschaft wie jedes Einzelnen, setzt aber zugleich voraus, dass in erster Linie jeder zunächst selbst verpflichtet ist, Verantwortung für sich und die Seinen zu übernehmen und sein Möglichstes dazu beizutragen. Die Gemeinschaft kann nur leisten, was gemeinsam von allen erwirtschaftet wird, und darf daher von jedem seinen Beitrag erwarten. Ganz Bayern ist geformt von gewachsenem Brauchtum, von Sitten und Traditionen. Die freiheitliche Lebensweise in einer offenen und pluralen Gesellschaft erfordert gleichermaßen gegenseitige Toleranz und Achtung der kulturellen Prägung unseres Landes. In den zurückliegenden Jahrzehnten ist es so zur neuen Heimat für Viele geworden, die sich hier eingebracht und eingelebt haben. Das lange geschichtliche Ringen unserer Nation und unseres ganzen Kontinents um Einheit, Recht, Frieden und Freiheit verpflichtet auf das errungene gesamteuropäische Erbe und das Ziel eines gemeinsamen europäischen Weges. Dieser identitätsbildende Grundkonsens wird täglich in unserem Land gelebt und bildet die kulturelle Grundordnung der Gesellschaft (Leitkultur). Diese zu wahren, den gesellschaftlichen Zusammenhalt zu sichern und Migrantinnen und Migranten zu einem Leben in unserer Gesellschaft zu befähigen, ist Zweck dieses Gesetzes.</w:t>
      </w:r>
    </w:p>
    <w:p>
      <w:r>
        <w:rPr>
          <w:color w:val="555555"/>
          <w:sz w:val="17"/>
        </w:rPr>
        <w:t xml:space="preserve">Zitiervorschlag: Präambel BayIntG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https://recht.nulegal.eu/gesetze/BayIntG/praeambel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