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BayIntG (Bayern) — Schulen</w:t>
      </w:r>
    </w:p>
    <w:p>
      <w:r>
        <w:rPr>
          <w:color w:val="555555"/>
          <w:sz w:val="18"/>
        </w:rPr>
        <w:t xml:space="preserve">Bayerisches Integrationsgesetz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Schulen fördern im Rahmen ihres Bildungs- und Erziehungsauftrags nach Art. 131 der Verfassung die in Art. 1 genannten Integrationsziele. Hierzu unterstützen sie die Integrationsbemühungen von Migrantinnen und Migranten und die interkulturelle Kompetenz aller Schülerinnen und Schüler und vermitteln in diesem Zusammenhang auch die grundlegende Rechts- und Werteordnung der Verfassung. Sie sollen darauf hinwirken, dass die Schülerinnen und Schüler Menschen in ihrer Unterschiedlichkeit offen und unbefangen annehmen.</w:t>
      </w:r>
    </w:p>
    <w:p>
      <w:r>
        <w:t xml:space="preserve">(2) Auf die interkulturelle und integrative Kompetenz soll im erforderlichen Umfang in der Aus- und Fortbildung der Lehrkräfte besonderer Wert gelegt werden.</w:t>
      </w:r>
    </w:p>
    <w:p>
      <w:r>
        <w:t xml:space="preserve">(3) Für Schülerinnen und Schüler nichtdeutscher Muttersprache können insbesondere in Pflichtschulen gesonderte Klassen und sonstige Fördermaßnahmen zur Sprachförderung und schulischen Integration eingerichtet werden. Ziel ist eine frühestmögliche Aufnahme in den Unterricht der Regelklassen.</w:t>
      </w:r>
    </w:p>
    <w:p>
      <w:r>
        <w:t xml:space="preserve">(4) Die Teilnahme am Unterricht ist Grundvoraussetzung schulischer Integration. Befreiungen vom Unterricht aus religiösen Gründen, die sich nicht lediglich auf einzelne Tage beschränken, sind auf die verfassungsrechtlich zwingenden Fälle zu beschränken. Vorrangig sind organisatorische oder prozedurale Maßnahmen auszuschöpfen.</w:t>
      </w:r>
    </w:p>
    <w:p>
      <w:r>
        <w:rPr>
          <w:color w:val="555555"/>
          <w:sz w:val="17"/>
        </w:rPr>
        <w:t xml:space="preserve">Zitiervorschlag: Art 7 BayIntG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https://recht.nulegal.eu/gesetze/BayIntG/7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