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BayIntG (Bayern) — Allgemeine Integrationsförderung</w:t>
      </w:r>
    </w:p>
    <w:p>
      <w:r>
        <w:rPr>
          <w:color w:val="555555"/>
          <w:sz w:val="18"/>
        </w:rPr>
        <w:t xml:space="preserve">Bayerisches Integrationsgesetz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Bildung ist ein zentraler Schlüssel zur Integration. Der Staat unterstützt sowohl minderjährige als auch erwachsene Migrantinnen und Migranten darin, spezifische Bildungslücken auszugleichen, die ihren Grund nicht in ihren persönlichen Anlagen und Bildungsanstrengungen haben, sondern auf strukturellen Bildungsdefiziten ihres Herkunftsstaats beruhen oder migrationsbedingt sind. Die Zugangsvoraussetzungen zu den einzelnen schulischen Bildungswegen und -einrichtungen einschließlich begründeter Ausnahmen für Schülerinnen und Schüler nichtdeutscher Muttersprache regeln die Schulordnungen auf Basis der einschlägigen gesetzlichen Ermächtigungen.</w:t>
      </w:r>
    </w:p>
    <w:p>
      <w:r>
        <w:t xml:space="preserve">(2) Der Staat unterstützt Migrantinnen und Migranten durch geeignete Angebote in dem ihnen abverlangten Bemühen, sich mit den in der heimischen Bevölkerung vorherrschenden Umgangsformen, Sitten und Gebräuchen vertraut zu machen, soweit sich diese von denjenigen in den Herkunftsstaaten unterscheiden.</w:t>
      </w:r>
    </w:p>
    <w:p>
      <w:r>
        <w:t xml:space="preserve">(3) Eltern leisten durch Erziehung und Wertevermittlung einen wesentlichen Beitrag zu einer gelingenden Integration. Der Staat unterstützt Migrantinnen und Migranten durch geeignete Angebote darin, die tatsächliche Durchsetzung der Gleichberechtigung von Frauen und Männern in Deutschland anzunehmen, einzuüben und auch selbstbewusst zu vertreten.</w:t>
      </w:r>
    </w:p>
    <w:p>
      <w:r>
        <w:t xml:space="preserve">(4) Gelingende Integration bedarf der gegenseitigen Rücksichtnahme und Toleranz sowie des Respekts vor der Einzigartigkeit, der Lebensgeschichte und den Prägungen des jeweils anderen. Der Staat fördert an der Leitkultur ausgerichtete Angebote, die Migrantinnen und Migranten in politischer Bildung, deutscher Geschichte einschließlich der Lehren aus den Verbrechen des Dritten Reiches und in der Rechtskunde unterweisen und ihnen die heimische Kultur, Wirtschafts- und Gesellschaftsordnung näherbringen. Er fördert zugleich die interkulturelle Sensibilität von Bevölkerung und Verwaltung und unterstützt integrativ wirkende Projekte.</w:t>
      </w:r>
    </w:p>
    <w:p>
      <w:r>
        <w:t xml:space="preserve">(5) Der Staat unterstützt Angebote der Migrationsberatung, um den Migrantinnen und Migranten im Bedarfsfall einzelfallgerechte Hilfe und Unterstützung in den eigenen Integrationsbemühungen zu gewähren.</w:t>
      </w:r>
    </w:p>
    <w:p>
      <w:r>
        <w:t xml:space="preserve">(6) Das an den Integrationszielen dieses Gesetzes ausgerichtete bürgerschaftliche Engagement von und für Migrantinnen und Migranten soll in allen Bereichen der Gesellschaft gestärkt werden. Migrantinnen und Migranten werden ermutigt, durch bürgerschaftliches Engagement einen Beitrag zum Gemeinwohl zu leisten und sich auf diese Weise zu unserem Land und seinen Werten zu bekennen. Der Staat erkennt den wichtigen Beitrag an, den Verbände und Vereine leisten, wenn sie über Angebote informieren, für Teilnahme werben und sich aktiv in den politischen Prozess einbringen. Er unterstützt die ehrenamtliche Arbeit vor Ort durch geeignete Angebote, insbesondere zur Information und Koordinierung.</w:t>
      </w:r>
    </w:p>
    <w:p>
      <w:r>
        <w:t xml:space="preserve">(7) Der Staat unterstützt Angebote der Rückkehrberatung, um ausreisepflichtigen oder rückkehrwilligen Ausländerinnen und Ausländern bedarfsgerechte Hilfe und Unterstützung für die Rückkehr in ihre Herkunftsstaaten zu gewähren.</w:t>
      </w:r>
    </w:p>
    <w:p>
      <w:r>
        <w:t xml:space="preserve">(8) Migrationsbedingte Erwägungen können im Rahmen von Ermessensentscheidungen berücksichtigt werden, soweit dies den in Art. 1 genannten Integrationszielen in geeigneter Weise dienen kann. Alle staatlichen Behörden verwirklichen im Rahmen ihrer Zuständigkeiten und der geltenden Gesetze die Integrationsziele dieses Gesetzes.</w:t>
      </w:r>
    </w:p>
    <w:p>
      <w:r>
        <w:t xml:space="preserve">(9) Förderungen nach diesem Artikel erfolgen nach Maßgabe gesonderter Förderrichtlinien. Diese sind jeweils gemäß den haushaltsrechtlichen Bestimmungen zu befristen und mit einem Haushaltsvorbehalt zu versehen.</w:t>
      </w:r>
    </w:p>
    <w:p>
      <w:r>
        <w:rPr>
          <w:color w:val="555555"/>
          <w:sz w:val="17"/>
        </w:rPr>
        <w:t xml:space="preserve">Zitiervorschlag: Art 3 BayIntG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https://recht.nulegal.eu/gesetze/BayIntG/3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