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BayIntG (Bayern) — Begriffsbestimmungen</w:t>
      </w:r>
    </w:p>
    <w:p>
      <w:r>
        <w:rPr>
          <w:color w:val="555555"/>
          <w:sz w:val="18"/>
        </w:rPr>
        <w:t xml:space="preserve">Bayerisches Integrationsgesetz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Migrantinnen und Migranten im Sinne dieses Gesetzes sind alle Ausländerinnen und Ausländer, die sich dauerhaft berechtigt in Bayern aufhalten. Gleichgestellt sind Ausländerinnen und Ausländer, die eine Aufenthaltsgestattung besitzen und bei denen ein rechtmäßiger und dauerhafter Aufenthalt zu erwarten ist. Nicht erfasst sind Personen, die nach Regelungen im Sinne des § 1 Abs. 1 Satz 5 des Aufenthaltsgesetzes (AufenthG) oder nach § 1 Abs. 2 Nr. 2 und 3 AufenthG vom Erfordernis eines Aufenthaltstitels befreit sind.</w:t>
      </w:r>
    </w:p>
    <w:p>
      <w:r>
        <w:t xml:space="preserve">(2) Ausländerinnen und Ausländer</w:t>
      </w:r>
    </w:p>
    <w:p>
      <w:r>
        <w:t xml:space="preserve">1. nach § 1 Abs. 2 Nr. 1 AufenthG und nach § 28 der Aufenthaltsverordnung (AufenthV),</w:t>
      </w:r>
    </w:p>
    <w:p>
      <w:r>
        <w:t xml:space="preserve">2. die einen Aufenthaltstitel nach § 18 AufenthG besitzen, wenn der Ausübung der Beschäftigung nach § 2 Abs. 3, § 4 oder § 10 der Beschäftigungsverordnung (BeschV) zugestimmt wurde oder sie nach § 2 Abs. 1 Nr. 3, § 3 oder § 5 BeschV ohne Zustimmung zulässig ist,</w:t>
      </w:r>
    </w:p>
    <w:p>
      <w:r>
        <w:t xml:space="preserve">3. die einen Aufenthaltstitel nach den §§ 18b bis 21 AufenthG besitzen,</w:t>
      </w:r>
    </w:p>
    <w:p>
      <w:r>
        <w:t xml:space="preserve">4. für die § 41 AufenthV gilt oder</w:t>
      </w:r>
    </w:p>
    <w:p>
      <w:r>
        <w:t xml:space="preserve">5. die als Angehörige der in den Nrn. 1 bis 4 genannten Personen einen Aufenthaltstitel zum Familiennachzug besitzen oder</w:t>
      </w:r>
    </w:p>
    <w:p>
      <w:r>
        <w:t xml:space="preserve">6. die Ehegatten oder Lebenspartner eines Deutschen sind,</w:t>
      </w:r>
    </w:p>
    <w:p>
      <w:r>
        <w:t xml:space="preserve">sind Migrantinnen und Migranten nur in Bezug auf die Regelungen dieses Gesetzes über die Integrationsförderung.</w:t>
      </w:r>
    </w:p>
    <w:p>
      <w:r>
        <w:t xml:space="preserve">(3) Die Regelungen dieses Gesetzes über die Integrationsförderung gelten entsprechend für Deutsche, die in besonderer Weise integrationsbedürftig sind und</w:t>
      </w:r>
    </w:p>
    <w:p>
      <w:r>
        <w:t xml:space="preserve">1. außerhalb der heutigen Grenzen der Bundesrepublik Deutschland geboren und nach 1955 in das heutige Gebiet der Bundesrepublik Deutschland zugewandert sind oder</w:t>
      </w:r>
    </w:p>
    <w:p>
      <w:r>
        <w:t xml:space="preserve">2. zumindest einen Eltern- oder Großelternteil haben, der die Bedingungen der Nr. 1 erfüllt.</w:t>
      </w:r>
    </w:p>
    <w:p>
      <w:r>
        <w:t xml:space="preserve">In besonderer Weise integrationsbedürftig ist insbesondere, wer die deutsche Sprache nicht mindestens auf dem Niveau A2 des Gemeinsamen Europäischen Referenzrahmens für Sprachen beherrscht.</w:t>
      </w:r>
    </w:p>
    <w:p>
      <w:r>
        <w:rPr>
          <w:color w:val="555555"/>
          <w:sz w:val="17"/>
        </w:rPr>
        <w:t xml:space="preserve">Zitiervorschlag: Art 2 BayIntG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https://recht.nulegal.eu/gesetze/BayIntG/2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