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BayIntG (Bayern) — Inkrafttreten, Außerkrafttreten</w:t>
      </w:r>
    </w:p>
    <w:p>
      <w:r>
        <w:rPr>
          <w:color w:val="555555"/>
          <w:sz w:val="18"/>
        </w:rPr>
        <w:t xml:space="preserve">Bayerisches Integrationsgesetz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Januar 2017 in Kraft. Abweichend von Satz 1 treten in Kraft:</w:t>
      </w:r>
    </w:p>
    <w:p>
      <w:r>
        <w:t xml:space="preserve">1. Art. 8 mit Wirkung vom 15. März 2016,</w:t>
      </w:r>
    </w:p>
    <w:p>
      <w:r>
        <w:t xml:space="preserve">2. Art. 5 Abs. 2, 3, 6 und Art. 17a Abs. 5 am 1. August 2017.</w:t>
      </w:r>
    </w:p>
    <w:p>
      <w:r>
        <w:t xml:space="preserve">(2) Art. 8 tritt mit Ablauf des 30. September 2021 außer Kraft. Entsprechende Angebote der Hochschulen laufen zu dem in Satz 1 genannten Datum aus.</w:t>
      </w:r>
    </w:p>
    <w:p>
      <w:r>
        <w:rPr>
          <w:color w:val="555555"/>
          <w:sz w:val="17"/>
        </w:rPr>
        <w:t xml:space="preserve">Zitiervorschlag: Art 18 BayIntG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https://recht.nulegal.eu/gesetze/BayIntG/18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