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BayIntG (Bayern) — Unterlaufen der verfassungsmäßigen Ordnung</w:t>
      </w:r>
    </w:p>
    <w:p>
      <w:r>
        <w:rPr>
          <w:color w:val="555555"/>
          <w:sz w:val="18"/>
        </w:rPr>
        <w:t xml:space="preserve">Bayerisches Integrationsgesetz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Es ist verboten</w:t>
      </w:r>
    </w:p>
    <w:p>
      <w:r>
        <w:t xml:space="preserve">1. öffentlich, in einer Versammlung oder durch Verbreiten von Schriften dazu aufzufordern, die geltende verfassungsmäßige Ordnung zu missachten und stattdessen einer mit ihren Grundsätzen nicht zu vereinbarenden anderen Rechtsordnung zu folgen,</w:t>
      </w:r>
    </w:p>
    <w:p>
      <w:r>
        <w:t xml:space="preserve">2. es zu unternehmen, andere Personen einer solchen Ordnung zu unterwerfen oder</w:t>
      </w:r>
    </w:p>
    <w:p>
      <w:r>
        <w:t xml:space="preserve">3. es zu unternehmen, eine solche Ordnung oder aus ihr abgeleitete Einzelakte zu vollziehen oder zu vollstrecken.</w:t>
      </w:r>
    </w:p>
    <w:p>
      <w:r>
        <w:t xml:space="preserve">(2) Wer gegen das Verbot nach Abs. 1 verstößt, kann mit Geldbuße bis zu fünfzigtausend Euro belegt werden. Die Verfolgung verjährt in fünf Jahren, und zwar auch dann, wenn die Tat durch Verbreitung von Druckwerken begangen wird.</w:t>
      </w:r>
    </w:p>
    <w:p>
      <w:r>
        <w:t xml:space="preserve">Art. 14 Abs. 2 verstößt gem. Entsch. des BayVerfGH – 2019 Vf. 6-VIII-17; Vf. 7-VIII-17 – v. 3.12.2019 (GVBl. S. 764) gegen Art. 3 Abs. 1 Satz 1 BV (Rechtsstaatsprinzip) und ist nichtig.</w:t>
      </w:r>
    </w:p>
    <w:p>
      <w:r>
        <w:rPr>
          <w:color w:val="555555"/>
          <w:sz w:val="17"/>
        </w:rPr>
        <w:t xml:space="preserve">Zitiervorschlag: Art 14 BayIntG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https://recht.nulegal.eu/gesetze/BayIntG/14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