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BayIntG (Bayern) — Verantwortung der Wirtschaft</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Wirtschaft trägt im Rahmen des Art. 151 der Verfassung Mitverantwortung für die in Art. 1 genannten Integrationsziele. Die staatlichen Förderprogramme insbesondere nach dem Mittelstandsförderungsgesetz können die Bemühungen einzelner Unternehmen positiv berücksichtigen, Migrantinnen und Migranten, die zur Ausübung einer Erwerbstätigkeit berechtigt sind, auf Unternehmenskosten die deutsche Sprache und die Leitkultur zu vermitteln und die in Art. 1 genannten Integrationsziele zu fördern.</w:t>
      </w:r>
    </w:p>
    <w:p>
      <w:r>
        <w:t xml:space="preserve">(2) Qualifizierte Migrantinnen und Migranten sollen im Rahmen der geltenden Gesetze den heimischen Arbeitsmarkt bereichern. Das Potenzial der dualen Berufsausbildung und der schulisch strukturierten Aus- und Weiterbildung soll für die Qualifizierung der Migrantinnen und Migranten nutzbar gemacht werden.</w:t>
      </w:r>
    </w:p>
    <w:p>
      <w:r>
        <w:rPr>
          <w:color w:val="555555"/>
          <w:sz w:val="17"/>
        </w:rPr>
        <w:t xml:space="preserve">Zitiervorschlag: Art 10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