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BayIngG (Bayern) — Inkrafttreten, Außerkrafttreten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20. Juli 2016 in Kraft.</w:t>
      </w:r>
    </w:p>
    <w:p>
      <w:r>
        <w:t xml:space="preserve">(2) Art. 2 Abs. 2 Satz 2 tritt mit Ablauf des 20. Juli 2018 außer Kraft.</w:t>
      </w:r>
    </w:p>
    <w:p>
      <w:r>
        <w:t xml:space="preserve">(3) Mit Ablauf des 19. Juli 2016 tritt das Ingenieurgesetz (IngG) in der in der Bayerischen Rechtssammlung (BayRS 702-2-W) veröffentlichten bereinigten Fassung, das zuletzt durch § 1 Nr. 353 der Verordnung vom 22. Juli 2014 (GVBl. S. 286) geändert worden ist, außer Kraft.</w:t>
      </w:r>
    </w:p>
    <w:p>
      <w:r>
        <w:rPr>
          <w:color w:val="555555"/>
          <w:sz w:val="17"/>
        </w:rPr>
        <w:t xml:space="preserve">Zitiervorschlag: Art 7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