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BayIngG (Bayern) — Zuständige Stelle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Stelle im Sinne dieses Gesetzes ist</w:t>
      </w:r>
    </w:p>
    <w:p>
      <w:r>
        <w:t xml:space="preserve">1. für antragstellende Personen, deren Ausbildungsnachweise einer der Fachrichtungen Bauingenieurwesen, Gebäude- und Versorgungstechnik oder Vermessungswesen zuzuordnen sind, die Bayerische Ingenieurekammer-Bau,</w:t>
      </w:r>
    </w:p>
    <w:p>
      <w:r>
        <w:t xml:space="preserve">2. im Übrigen die Regierung von Schwaben.</w:t>
      </w:r>
    </w:p>
    <w:p>
      <w:r>
        <w:t xml:space="preserve">Bestehen Zweifel über die zuständige Stelle, entscheidet hierüber die Regierung von Schwaben.</w:t>
      </w:r>
    </w:p>
    <w:p>
      <w:r>
        <w:t xml:space="preserve">(2) Die Aufsicht über die Ingenieurekammer-Bau führt im Anwendungsbereich dieses Gesetzes das Staatsministerium.</w:t>
      </w:r>
    </w:p>
    <w:p>
      <w:r>
        <w:rPr>
          <w:color w:val="555555"/>
          <w:sz w:val="17"/>
        </w:rPr>
        <w:t xml:space="preserve">Zitiervorschlag: Art 5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