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 4 BayIngG (Bayern) — Ausgleichsmaßnahmen</w:t>
      </w:r>
    </w:p>
    <w:p>
      <w:r>
        <w:rPr>
          <w:color w:val="555555"/>
          <w:sz w:val="18"/>
        </w:rPr>
        <w:t xml:space="preserve">Bayerisches Ingenieurgesetz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(1) Art. 11 BayBQFG findet unbeschadet Art. 3 Abs. 3 nur in Bezug auf Berufsqualifikationen, die in einem Mitglieds- oder Vertragsstaat erworben wurden, Anwendung.</w:t>
      </w:r>
    </w:p>
    <w:p>
      <w:r>
        <w:t xml:space="preserve">(2) Abweichend von Art. 11 Abs. 3 BayBQFG muss die antragstellende Person</w:t>
      </w:r>
    </w:p>
    <w:p>
      <w:r>
        <w:t xml:space="preserve">1. nach Wahl der zuständigen Stelle entweder einen Anpassungslehrgang oder eine Eignungsprüfung mit Erfolg absolvieren, wenn sie lediglich eine Qualifikation nach Art. 11 Buchst. b der Richtlinie 2005/36/EG besitzt, oder</w:t>
      </w:r>
    </w:p>
    <w:p>
      <w:r>
        <w:t xml:space="preserve">2. sowohl einen Anpassungslehrgang als auch eine Eignungsprüfung mit Erfolg absolvieren, wenn sie lediglich eine Qualifikation nach Art. 11 Buchst. a der Richtlinie 2005/36/EG besitzt.</w:t>
      </w:r>
    </w:p>
    <w:p>
      <w:r>
        <w:t xml:space="preserve">(3) Das Staatsministerium für Wirtschaft, Landesentwicklung und Energie (Staatsministerium) wird ermächtigt, durch Rechtsverordnung das Nähere zu den Ausgleichsmaßnahmen einschließlich des Verfahrens und der zu erhebenden Gebühren zu regeln. Die Ingenieurekammer-Bau kann im Rahmen ihrer Zuständigkeit die in Satz 1 genannten Bestimmungen durch Satzung treffen; die Satzung bedarf der Genehmigung des Staatsministeriums. In den Fällen der Sätze 1 und 2 bedarf das Staatsministerium jeweils des Einvernehmens des Staatsministeriums für Wissenschaft und Kunst.</w:t>
      </w:r>
    </w:p>
    <w:p>
      <w:r>
        <w:rPr>
          <w:color w:val="555555"/>
          <w:sz w:val="17"/>
        </w:rPr>
        <w:t xml:space="preserve">Zitiervorschlag: Art 4 BayIngG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https://recht.nulegal.eu/gesetze/BayIngG/4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