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BayIngG (Bayern) — Geschützte Berufsbezeichnung</w:t>
      </w:r>
    </w:p>
    <w:p>
      <w:r>
        <w:rPr>
          <w:color w:val="555555"/>
          <w:sz w:val="18"/>
        </w:rPr>
        <w:t xml:space="preserve">Bayerisches Ingenieurgesetz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Berufsbezeichnung Ingenieurin oder Ingenieur allein oder in einer Wortverbindung darf führen,</w:t>
      </w:r>
    </w:p>
    <w:p>
      <w:r>
        <w:t xml:space="preserve">1. wer ein grundständiges Studium an einer staatlichen oder staatlich anerkannten deutschen Hochschule mit Erfolg abgeschlossen hat</w:t>
      </w:r>
    </w:p>
    <w:p>
      <w:r>
        <w:t xml:space="preserve">a) in einer technisch-naturwissenschaftlichen Fachrichtung,</w:t>
      </w:r>
    </w:p>
    <w:p>
      <w:r>
        <w:t xml:space="preserve">b) das eine Regelstudienzeit von mindestens sechs Semestern in Vollzeit aufweist und mit dem bei Anwendung des ECTS-Systems mindestens 180 Punkte erworben werden können und</w:t>
      </w:r>
    </w:p>
    <w:p>
      <w:r>
        <w:t xml:space="preserve">c) in dem die Bereiche Mathematik, Informatik, Naturwissenschaften und Technik überwiegen; diese Voraussetzung gilt nicht für das Führen der Berufsbezeichnung ausschließlich in der Wortverbindung Wirtschaftsingenieurin oder Wirtschaftsingenieur durch Personen, die ein grundständiges Studium des Wirtschaftsingenieurwesens absolviert haben,</w:t>
      </w:r>
    </w:p>
    <w:p>
      <w:r>
        <w:t xml:space="preserve">2. wer nach Ausbildung im Ausland die Genehmigung hierzu erhalten hat,</w:t>
      </w:r>
    </w:p>
    <w:p>
      <w:r>
        <w:t xml:space="preserve">3. wer nach dem Recht eines anderen Landes der Bundesrepublik Deutschland hierzu berechtigt ist oder</w:t>
      </w:r>
    </w:p>
    <w:p>
      <w:r>
        <w:t xml:space="preserve">4. wer bis zum Inkrafttreten dieses Gesetzes hierzu berechtigt war.</w:t>
      </w:r>
    </w:p>
    <w:p>
      <w:r>
        <w:t xml:space="preserve">(2) Die Berufsbezeichnung nach Abs. 1 darf im Namen oder in der Firma einer Gesellschaft geführt werden, wenn mindestens die Hälfte der Mitglieder des Vorstands oder der Geschäftsführung zur Führung der Berufsbezeichnung berechtigt sind. Abs. 1 Nr. 4 gilt bis zu einer Änderung des Gesellschafterbestands entsprechend.</w:t>
      </w:r>
    </w:p>
    <w:p>
      <w:r>
        <w:rPr>
          <w:color w:val="555555"/>
          <w:sz w:val="17"/>
        </w:rPr>
        <w:t xml:space="preserve">Zitiervorschlag: Art 2 BayIngG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https://recht.nulegal.eu/gesetze/BayIngG/2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