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BayIngAMV (Bayern) — Wahl einer Ausgleichsmaßnahme, Wiederholbarkeit</w:t>
      </w:r>
    </w:p>
    <w:p>
      <w:r>
        <w:rPr>
          <w:color w:val="555555"/>
          <w:sz w:val="18"/>
        </w:rPr>
        <w:t xml:space="preserve">Bayerische Ingenieur-Ausgleichsmaßnahmenverordnung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Wahl zwischen Anpassungslehrgang und Eignungsprüfung gemäß Art. 11 Abs. 3 Satz 1 BayBQFG ist einmalig und bindend. Ein als nicht bestanden bewerteter Anpassungslehrgang oder eine nicht bestandene Eignungsprüfung können einmal wiederholt werden.</w:t>
      </w:r>
    </w:p>
    <w:p>
      <w:r>
        <w:rPr>
          <w:color w:val="555555"/>
          <w:sz w:val="17"/>
        </w:rPr>
        <w:t xml:space="preserve">Zitiervorschlag: § 8 BayIngAMV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https://recht.nulegal.eu/gesetze/BayIngAMV/8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