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BayIngAMV (Bayern) — Aufgaben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gemäß Art. 5 Abs. 1 BayIngG zuständigen Stellen bilden jeweils einen Anerkennungsausschuss.</w:t>
      </w:r>
    </w:p>
    <w:p>
      <w:r>
        <w:t xml:space="preserve">(2) Der Anerkennungsausschuss wird in folgenden Fällen tätig:</w:t>
      </w:r>
    </w:p>
    <w:p>
      <w:r>
        <w:t xml:space="preserve">1. bei der Prüfung wesentlicher Unterschiede gemäß Art. 10 Abs. 1 BayBQFG in Verbindung mit Art. 9 Abs. 2 BayBQFG,</w:t>
      </w:r>
    </w:p>
    <w:p>
      <w:r>
        <w:t xml:space="preserve">2. bei der Entscheidung über die Anerkennung von Qualifikationen gemäß Art. 9 Abs. 2 Nr. 3 BayBQFG und der damit verbundenen Feststellung der vorhandenen Berufsqualifikation gemäß Art. 10 Abs. 1 BayBQFG,</w:t>
      </w:r>
    </w:p>
    <w:p>
      <w:r>
        <w:t xml:space="preserve">3. bei der Festlegung von Inhalt und Umfang einer Ausgleichsmaßnahme und</w:t>
      </w:r>
    </w:p>
    <w:p>
      <w:r>
        <w:t xml:space="preserve">4. bei der Durchführung, fachlichen Bewertung und abschließenden Feststellung des Ergebnisses von Ausgleichsmaßnahmen nach den Teilen 3 bis 5.</w:t>
      </w:r>
    </w:p>
    <w:p>
      <w:r>
        <w:t xml:space="preserve">Im Fall der Aufgaben nach Satz 1 Nr. 1 und 2 verzichtet die zuständige Stelle auf die Beteiligung des Anerkennungsausschusses, soweit sie über ausreichende eigene Kenntnisse verfügt; möglich ist in diesen Fällen auch die Einbindung nur eines Beisitzers gemäß § 4 Abs. 3.</w:t>
      </w:r>
    </w:p>
    <w:p>
      <w:r>
        <w:rPr>
          <w:color w:val="555555"/>
          <w:sz w:val="17"/>
        </w:rPr>
        <w:t xml:space="preserve">Zitiervorschlag: § 3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