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BayIngAMV (Bayern) — Qualifizierte berufsangehörige Person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qualifizierte berufsangehörige Person im Sinne von § 2 Abs. 2 Satz 1 muss der zuständigen Stelle vorlegen:</w:t>
      </w:r>
    </w:p>
    <w:p>
      <w:r>
        <w:t xml:space="preserve">1. die Nachweise für das Vorliegen der Voraussetzungen gemäß § 2 Abs. 2 Satz 1 und</w:t>
      </w:r>
    </w:p>
    <w:p>
      <w:r>
        <w:t xml:space="preserve">2. die Erklärung, den Anpassungslehrgang entsprechend den Vorgaben gemäß § 13 durchzuführen.</w:t>
      </w:r>
    </w:p>
    <w:p>
      <w:r>
        <w:rPr>
          <w:color w:val="555555"/>
          <w:sz w:val="17"/>
        </w:rPr>
        <w:t xml:space="preserve">Zitiervorschlag: § 11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