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 BayIngAMV (Bayern) — Kosten</w:t>
      </w:r>
    </w:p>
    <w:p>
      <w:r>
        <w:rPr>
          <w:color w:val="555555"/>
          <w:sz w:val="18"/>
        </w:rPr>
        <w:t xml:space="preserve">Bayerische Ingenieur-Ausgleichsmaßnahmenverordnung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Die Kosten für Amtshandlungen nach dieser Verordnung richten sich nach dem Kostengesetz. Die Vergütung gemäß § 6 wird als Auslage erhoben.</w:t>
      </w:r>
    </w:p>
    <w:p>
      <w:r>
        <w:rPr>
          <w:color w:val="555555"/>
          <w:sz w:val="17"/>
        </w:rPr>
        <w:t xml:space="preserve">Zitiervorschlag: § 10 BayIngAMV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https://recht.nulegal.eu/gesetze/BayIngAMV/10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