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BayImSchG (Bayern)</w:t>
      </w:r>
    </w:p>
    <w:p>
      <w:r>
        <w:rPr>
          <w:color w:val="555555"/>
          <w:sz w:val="18"/>
        </w:rPr>
        <w:t xml:space="preserve">Bayerisches Immissionsschutzgesetz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BayImSchG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https://recht.nulegal.eu/gesetze/BayImSchG/eingangsformel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