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BayImSchG (Bayern) — Nicht gewerbliche und nicht wirtschaftliche Betriebsbereiche</w:t>
      </w:r>
    </w:p>
    <w:p>
      <w:r>
        <w:rPr>
          <w:color w:val="555555"/>
          <w:sz w:val="18"/>
        </w:rPr>
        <w:t xml:space="preserve">Bayerisches Immissionsschutzgesetz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Anlagen, die Betriebsbereich oder Bestandteil eines Betriebsbereichs sind, die nicht gewerblichen Zwecken dienen und nicht im Rahmen wirtschaftlicher Unternehmungen Verwendung finden, gelten § 20 Abs. 1a, §§ 22, 23a, 23b Abs. 1 bis 4, §§ 24 bis 25a, § 31 Abs. 2a und § 52 BImSchG sowie die auf das Bundes-Immissionsschutzgesetz gestützten Rechtsverordnungen mit Ausnahme der §§ 20 und 21 12. BImSchV entsprechend. Hinsichtlich der Kostenverteilung bei der Überwachung gilt die Regelung in § 52 Abs. 4 BImSchG für genehmigungsbedürftige Anlagen.</w:t>
      </w:r>
    </w:p>
    <w:p>
      <w:r>
        <w:t xml:space="preserve">[Amtl. Anm.:] Art. 8 dieses Gesetzes dient der Umsetzung der Richtlinie 2012/18/EU</w:t>
      </w:r>
    </w:p>
    <w:p>
      <w:r>
        <w:rPr>
          <w:color w:val="555555"/>
          <w:sz w:val="17"/>
        </w:rPr>
        <w:t xml:space="preserve">Zitiervorschlag: Art 8 BayImSchG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https://recht.nulegal.eu/gesetze/BayImSchG/8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