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BayImSchG (Bayern) — Rechtsverordnungen der Gemeinden</w:t>
      </w:r>
    </w:p>
    <w:p>
      <w:r>
        <w:rPr>
          <w:color w:val="555555"/>
          <w:sz w:val="18"/>
        </w:rPr>
        <w:t xml:space="preserve">Bayerisches Immissionsschutzgesetz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Gemeinden werden ermächtigt, durch Rechtsverordnung zum Schutz vor schädlichen Einwirkungen durch Luftverunreinigungen oder Geräusche</w:t>
      </w:r>
    </w:p>
    <w:p>
      <w:r>
        <w:t xml:space="preserve">1. die Errichtung und den Betrieb von Anlagen und die Verwendung bestimmter Brennstoffe zu verbieten, zeitlich zu beschränken oder von Vorkehrungen abhängig zu machen,</w:t>
      </w:r>
    </w:p>
    <w:p>
      <w:r>
        <w:t xml:space="preserve">2. das Halten von Haustieren, die Benutzung von Musikinstrumenten, Tonübertragungsgeräten und Tonwiedergabegeräten und die zeitliche Beschränkung ruhestörender Hausarbeiten oder Gartenarbeiten zu regeln.</w:t>
      </w:r>
    </w:p>
    <w:p>
      <w:r>
        <w:t xml:space="preserve">Der Vollzug der Verordnung obliegt der Gemeinde.</w:t>
      </w:r>
    </w:p>
    <w:p>
      <w:r>
        <w:t xml:space="preserve">(2) Die Gemeinden können von Verboten auf Grund von Abs. 1 Satz 1 Nr. 1 Ausnahmen für den Einzelfall zulassen, wenn schädliche Einwirkungen nicht zu befürchten sind. Sie müssen Ausnahmen zulassen, wenn überwiegende öffentliche Belange dies erfordern.</w:t>
      </w:r>
    </w:p>
    <w:p>
      <w:r>
        <w:rPr>
          <w:color w:val="555555"/>
          <w:sz w:val="17"/>
        </w:rPr>
        <w:t xml:space="preserve">Zitiervorschlag: Art 7 BayImSchG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https://recht.nulegal.eu/gesetze/BayImSchG/7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