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BayImSchG (Bayern) — Finanzhilfen</w:t>
      </w:r>
    </w:p>
    <w:p>
      <w:r>
        <w:rPr>
          <w:color w:val="555555"/>
          <w:sz w:val="18"/>
        </w:rPr>
        <w:t xml:space="preserve">Bayerisches Immissionsschutzgesetz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Erfüllung von Verpflichtungen nach dem Bundes-Immissionsschutzgesetz können den Betreibern bestehender Anlagen Zuwendungen gewährt werden. Die Zuwendungen werden nach Maßgabe der haushaltsrechtlichen Bestimmungen und der im Haushalt ausgewiesenen Mittel gewährt.</w:t>
      </w:r>
    </w:p>
    <w:p>
      <w:r>
        <w:rPr>
          <w:color w:val="555555"/>
          <w:sz w:val="17"/>
        </w:rPr>
        <w:t xml:space="preserve">Zitiervorschlag: Art 5 BayImSchG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https://recht.nulegal.eu/gesetze/BayImSchG/5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