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11a BayImSchG (Bayern) — Übergangsregelung</w:t>
      </w:r>
    </w:p>
    <w:p>
      <w:r>
        <w:rPr>
          <w:color w:val="555555"/>
          <w:sz w:val="18"/>
        </w:rPr>
        <w:t xml:space="preserve">Bayerisches Immissionsschutzgesetz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Verfahren, in denen die Unterrichtung der Genehmigungsbehörde über das geplante Vorhaben nach § 2 Abs. 2 Satz 1 der Verordnung über das Genehmigungsverfahren (9. BImSchV) bis zum Ablauf des 31. Dezember 2024 erfolgt ist, ist Art. 1 in der am 31. Dezember 2024 geltenden Fassung weiter anzuwenden.</w:t>
      </w:r>
    </w:p>
    <w:p>
      <w:r>
        <w:rPr>
          <w:color w:val="555555"/>
          <w:sz w:val="17"/>
        </w:rPr>
        <w:t xml:space="preserve">Zitiervorschlag: Art 11a BayImSchG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https://recht.nulegal.eu/gesetze/BayImSchG/11a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