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BayImSchG (Bayern) — Ordnungswidrigkeiten</w:t>
      </w:r>
    </w:p>
    <w:p>
      <w:r>
        <w:rPr>
          <w:color w:val="555555"/>
          <w:sz w:val="18"/>
        </w:rPr>
        <w:t xml:space="preserve">Bayerisches Immissionsschutzgesetz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Mit Geldbuße bis zu fünfzigtausend Euro kann belegt werden, wer vorsätzlich oder fahrlässig</w:t>
      </w:r>
    </w:p>
    <w:p>
      <w:r>
        <w:t xml:space="preserve">1. ohne Genehmigung nach Art. 8 Satz 1 in Verbindung mit § 23b Abs. 1 Satz 1 BImSchG eine dort genannte Anlage störfallrelevant errichtet oder ändert,</w:t>
      </w:r>
    </w:p>
    <w:p>
      <w:r>
        <w:t xml:space="preserve">2. einer vollziehbaren Anordnung nach Art. 8 Satz 1 in Verbindung mit § 24 Satz 1 BImSchG nicht, nicht richtig, nicht vollständig oder nicht rechtzeitig nachkommt,</w:t>
      </w:r>
    </w:p>
    <w:p>
      <w:r>
        <w:t xml:space="preserve">3. eine Anlage entgegen einer vollziehbaren Untersagung nach Art. 8 Satz 1 in Verbindung mit § 25 Abs. 1 BImSchG betreibt,</w:t>
      </w:r>
    </w:p>
    <w:p>
      <w:r>
        <w:t xml:space="preserve">4. in Bezug auf eine Anlage im Sinne des Art. 8 Satz 1 eine der in</w:t>
      </w:r>
    </w:p>
    <w:p>
      <w:r>
        <w:t xml:space="preserve">a) § 62 Abs. 1 Nr. 2 BImSchG in Verbindung mit § 21 Abs. 1 12. BImSchV oder</w:t>
      </w:r>
    </w:p>
    <w:p>
      <w:r>
        <w:t xml:space="preserve">b) § 62 Abs. 1 Nr. 7 BImSchG in Verbindung mit § 21 Abs. 2 12. BImSchV bezeichneten Handlungen begeht</w:t>
      </w:r>
    </w:p>
    <w:p>
      <w:r>
        <w:t xml:space="preserve">oder</w:t>
      </w:r>
    </w:p>
    <w:p>
      <w:r>
        <w:t xml:space="preserve">5. den Verboten nach Art. 9 Abs. 1 und Abs. 2 Satz 1 zuwiderhandelt.</w:t>
      </w:r>
    </w:p>
    <w:p>
      <w:r>
        <w:t xml:space="preserve">(2) Mit Geldbuße bis zu zwanzigtausend Euro kann belegt werden, wer vorsätzlich oder fahrlässig</w:t>
      </w:r>
    </w:p>
    <w:p>
      <w:r>
        <w:t xml:space="preserve">1. entgegen Art. 8 Satz 1 in Verbindung mit § 23a Abs. 1 Satz 1 BImSchG eine Anzeige nicht, nicht richtig oder nicht vollständig macht,</w:t>
      </w:r>
    </w:p>
    <w:p>
      <w:r>
        <w:t xml:space="preserve">2. einer Vorschrift des Art. 8 Satz 1 in Verbindung mit § 52 BImSchG über die Mitwirkung im Rahmen der Überwachung zuwiderhandelt oder</w:t>
      </w:r>
    </w:p>
    <w:p>
      <w:r>
        <w:t xml:space="preserve">3. einer Verordnung nach Art. 7 Abs. 1 Satz 1 Nr. 1 zuwiderhandelt, wenn die Verordnung für einen bestimmten Tatbestand auf diese Bußgeldvorschrift verweist.</w:t>
      </w:r>
    </w:p>
    <w:p>
      <w:r>
        <w:t xml:space="preserve">(3) Mit Geldbuße bis zu fünftausend Euro kann belegt werden, wer vorsätzlich oder fahrlässig</w:t>
      </w:r>
    </w:p>
    <w:p>
      <w:r>
        <w:t xml:space="preserve">1. entgegen Art. 6 Abs. 1 Nr. 1 Motoren laufen lässt,</w:t>
      </w:r>
    </w:p>
    <w:p>
      <w:r>
        <w:t xml:space="preserve">2. entgegen Art. 6 Abs. 1 Nr. 2 motorisierte Schneefahrzeuge betreibt,</w:t>
      </w:r>
    </w:p>
    <w:p>
      <w:r>
        <w:t xml:space="preserve">3. einer mit einer Erlaubnis nach Art. 6 Abs. 2 verbundenen vollziehbaren Auflage zuwiderhandelt,</w:t>
      </w:r>
    </w:p>
    <w:p>
      <w:r>
        <w:t xml:space="preserve">4. einer Rechtsverordnung nach Art. 7 Abs. 1 Satz 1 Nr. 2 zuwiderhandelt, wenn die Verordnung für einen bestimmten Tatbestand auf diese Bußgeldvorschrift verweist, oder</w:t>
      </w:r>
    </w:p>
    <w:p>
      <w:r>
        <w:t xml:space="preserve">5. einer Rechtsverordnung nach § 47 Abs. 7 BImSchG oder einer auf Grund einer solchen Rechtsverordnung erlassenen vollziehbaren Anordnung zuwiderhandelt, wenn die Verordnung für einen bestimmten Tatbestand auf diese Bußgeldvorschrift verweist.</w:t>
      </w:r>
    </w:p>
    <w:p>
      <w:r>
        <w:rPr>
          <w:color w:val="555555"/>
          <w:sz w:val="17"/>
        </w:rPr>
        <w:t xml:space="preserve">Zitiervorschlag: Art 11 BayImSchG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https://recht.nulegal.eu/gesetze/BayImSchG/11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