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BayHygV (Bayern) — Inkrafttreten</w:t>
      </w:r>
    </w:p>
    <w:p>
      <w:r>
        <w:rPr>
          <w:color w:val="555555"/>
          <w:sz w:val="18"/>
        </w:rPr>
        <w:t xml:space="preserve">Hygiene-Verordnung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September 1987 in Kraft.</w:t>
      </w:r>
    </w:p>
    <w:p>
      <w:r>
        <w:rPr>
          <w:color w:val="555555"/>
          <w:sz w:val="17"/>
        </w:rPr>
        <w:t xml:space="preserve">Zitiervorschlag: § 6 BayHygV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https://recht.nulegal.eu/gesetze/BayHygV/6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