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BayHundAgressV (Bayern)</w:t>
      </w:r>
    </w:p>
    <w:p>
      <w:r>
        <w:rPr>
          <w:color w:val="555555"/>
          <w:sz w:val="18"/>
        </w:rPr>
        <w:t xml:space="preserve">Verordnung über Hunde mit gesteigerter Aggressivität und Gefährlichkeit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37 Abs. 1 Satz 2 Halbsatz 2 des Landesstraf- und Verordnungsgesetzes – LStVG – (BayRS 2011–2–I), zuletzt geändert durch Gesetz vom 10. Juni 1992 (GVBl S. 152),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BayHundAgressV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https://recht.nulegal.eu/gesetze/BayHundAgressV/eingangsformel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