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BayHopfPerV (Bayern) — Ersatzvornahme</w:t>
      </w:r>
    </w:p>
    <w:p>
      <w:r>
        <w:rPr>
          <w:color w:val="555555"/>
          <w:sz w:val="18"/>
        </w:rPr>
        <w:t xml:space="preserve">Hopfen-Peronospora-Verordnung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Gemeinde kann die Maßnahmen nach §§ 1, 2 und 4 bei Säumnis der Pflichtigen auf deren Kosten durchführen lassen. Die Bestimmung des § 3 Satz 2 dieser Verordnung gilt entsprechend.</w:t>
      </w:r>
    </w:p>
    <w:p>
      <w:r>
        <w:rPr>
          <w:color w:val="555555"/>
          <w:sz w:val="17"/>
        </w:rPr>
        <w:t xml:space="preserve">Zitiervorschlag: § 5 BayHopfPerV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https://recht.nulegal.eu/gesetze/BayHopfPerV/5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