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BayHopfPerV (Bayern) — Bekämpfungsanordnung</w:t>
      </w:r>
    </w:p>
    <w:p>
      <w:r>
        <w:rPr>
          <w:color w:val="555555"/>
          <w:sz w:val="18"/>
        </w:rPr>
        <w:t xml:space="preserve">Hopfen-Peronospora-Verordnung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 kann jeweils einen Zeitpunkt festsetzen, zu dem in ihrem Gebiet die Maßnahmen nach §§ 1 und 2 spätestens durchzuführen sind. Trifft die Gemeinde eine solche Festsetzung nicht oder ist über ihr Gebiet hinaus eine einheitliche Regelung erforderlich, so kann die Kreisverwaltungsbehörde eine entsprechende Anordnung erlassen.</w:t>
      </w:r>
    </w:p>
    <w:p>
      <w:r>
        <w:rPr>
          <w:color w:val="555555"/>
          <w:sz w:val="17"/>
        </w:rPr>
        <w:t xml:space="preserve">Zitiervorschlag: § 3 BayHopfPerV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https://recht.nulegal.eu/gesetze/BayHopfPerV/3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