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BayHopfPerV (Bayern) — Aufleiten der Reben</w:t>
      </w:r>
    </w:p>
    <w:p>
      <w:r>
        <w:rPr>
          <w:color w:val="555555"/>
          <w:sz w:val="18"/>
        </w:rPr>
        <w:t xml:space="preserve">Hopfen-Peronospora-Verordnung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Reben mehrjähriger Hopfenanlagen sind, mit Ausnahme von höchstens drei Ersatzreben je Stock, sobald es deren Länge ermöglicht, an Draht oder Schnur mindestens bis zu einer Höhe von 4 m über dem Erdboden aufzuleiten.</w:t>
      </w:r>
    </w:p>
    <w:p>
      <w:r>
        <w:t xml:space="preserve">(2) Die Ersatzreben sind zu entfernen, sobald sie zum Aufleiten nicht mehr benötigt werden.</w:t>
      </w:r>
    </w:p>
    <w:p>
      <w:r>
        <w:t xml:space="preserve">(3) Die Reben von Junghopfen sind, sobald es deren Länge ermöglicht, mindestens bis zu einer Höhe von 1,5 m aufzuleiten.</w:t>
      </w:r>
    </w:p>
    <w:p>
      <w:r>
        <w:rPr>
          <w:color w:val="555555"/>
          <w:sz w:val="17"/>
        </w:rPr>
        <w:t xml:space="preserve">Zitiervorschlag: § 1 BayHopfPerV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https://recht.nulegal.eu/gesetze/BayHopfPerV/1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