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BayHopfDV (Bayern)</w:t>
      </w:r>
    </w:p>
    <w:p>
      <w:r>
        <w:rPr>
          <w:color w:val="555555"/>
          <w:sz w:val="18"/>
        </w:rPr>
        <w:t xml:space="preserve">Verordnung zur Durchführung des Hopfengesetzes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29. April 1997</w:t>
      </w:r>
    </w:p>
    <w:p>
      <w:r>
        <w:t xml:space="preserve">Der Bayerische Ministerpräsident</w:t>
      </w:r>
    </w:p>
    <w:p>
      <w:r>
        <w:t xml:space="preserve">Dr. Edmund Stoiber</w:t>
      </w:r>
    </w:p>
    <w:p>
      <w:r>
        <w:rPr>
          <w:color w:val="555555"/>
          <w:sz w:val="17"/>
        </w:rPr>
        <w:t xml:space="preserve">Zitiervorschlag: Schlussformel BayHopfDV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https://recht.nulegal.eu/gesetze/BayHopfDV/schlussformel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