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BayHopfDV (Bayern) — Anbaugebiet Tettnang</w:t>
      </w:r>
    </w:p>
    <w:p>
      <w:r>
        <w:rPr>
          <w:color w:val="555555"/>
          <w:sz w:val="18"/>
        </w:rPr>
        <w:t xml:space="preserve">Verordnung zur Durchführung des Hopfengesetzes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Zum Anbaugebiet Tettnang (Baden-Württemberg) gehören folgende Gemeinden:</w:t>
      </w:r>
    </w:p>
    <w:p>
      <w:r>
        <w:t xml:space="preserve">im Landkreis Lindau (Bodensee)</w:t>
      </w:r>
    </w:p>
    <w:p>
      <w:r>
        <w:t xml:space="preserve">Bodolz,</w:t>
      </w:r>
    </w:p>
    <w:p>
      <w:r>
        <w:t xml:space="preserve">Lindau (Bodensee),</w:t>
      </w:r>
    </w:p>
    <w:p>
      <w:r>
        <w:t xml:space="preserve">Nonnenhorn,</w:t>
      </w:r>
    </w:p>
    <w:p>
      <w:r>
        <w:t xml:space="preserve">Wasserburg (Bodensee).</w:t>
      </w:r>
    </w:p>
    <w:p>
      <w:r>
        <w:rPr>
          <w:color w:val="555555"/>
          <w:sz w:val="17"/>
        </w:rPr>
        <w:t xml:space="preserve">Zitiervorschlag: § 5 BayHopfDV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https://recht.nulegal.eu/gesetze/BayHopfDV/5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