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BayHintG (Bayern) — Hinterlegungsfähige Gegenstände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diesem Gesetz können</w:t>
      </w:r>
    </w:p>
    <w:p>
      <w:r>
        <w:t xml:space="preserve">1. Geldsummen (Geldhinterlegung) oder</w:t>
      </w:r>
    </w:p>
    <w:p>
      <w:r>
        <w:t xml:space="preserve">2. Wertpapierguthaben sowie Wertpapiere, Geldzeichen oder sonstige Urkunden und Kostbarkeiten (Werthinterlegung)</w:t>
      </w:r>
    </w:p>
    <w:p>
      <w:r>
        <w:t xml:space="preserve">hinterlegt werden.</w:t>
      </w:r>
    </w:p>
    <w:p>
      <w:r>
        <w:t xml:space="preserve">(2) Geld in fremden Währungen kann nur in Form von Geldzeichen hinterlegt werden.</w:t>
      </w:r>
    </w:p>
    <w:p>
      <w:r>
        <w:rPr>
          <w:color w:val="555555"/>
          <w:sz w:val="17"/>
        </w:rPr>
        <w:t xml:space="preserve">Zitiervorschlag: Art 9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