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BayHintG (Bayern) — Rechtsbehelfe</w:t>
      </w:r>
    </w:p>
    <w:p>
      <w:r>
        <w:rPr>
          <w:color w:val="555555"/>
          <w:sz w:val="18"/>
        </w:rPr>
        <w:t xml:space="preserve">Bayerisches Hinterlegungsgesetz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Gegen Entscheidungen der Hinterlegungsstellen findet die Beschwerde statt.</w:t>
      </w:r>
    </w:p>
    <w:p>
      <w:r>
        <w:t xml:space="preserve">(2) Hält die Hinterlegungsstelle die Beschwerde für begründet, hilft sie ihr ab. Andernfalls legt sie die Beschwerde unverzüglich dem dienstaufsichtführenden Richter des Amtsgerichts zur Entscheidung vor.</w:t>
      </w:r>
    </w:p>
    <w:p>
      <w:r>
        <w:t xml:space="preserve">(3) Gegen die Entscheidung über die Beschwerde findet der Antrag auf gerichtliche Entscheidung nach § 23 des Einführungsgesetzes zum Gerichtsverfassungsgesetz statt.</w:t>
      </w:r>
    </w:p>
    <w:p>
      <w:r>
        <w:rPr>
          <w:color w:val="555555"/>
          <w:sz w:val="17"/>
        </w:rPr>
        <w:t xml:space="preserve">Zitiervorschlag: Art 8 BayHintG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https://recht.nulegal.eu/gesetze/BayHintG/8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