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BayHintG (Bayern) — Akteneinsicht; elektronische Akte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Beteiligten sind entsprechend Art. 29 des Bayerischen Verwaltungsverfahrensgesetzes (BayVwVfG) zur Einsicht in die Hinterlegungsakten berechtigt.</w:t>
      </w:r>
    </w:p>
    <w:p>
      <w:r>
        <w:t xml:space="preserve">(2) Die Hinterlegungsakten können elektronisch geführt werden. Das Staatsministerium bestimmt durch Rechtsverordnung den Zeitpunkt, von dem an elektronische Hinterlegungsakten geführt werden, sowie die hierfür geltenden organisatorisch-technischen Rahmenbedingungen für die Bildung, Führung und Aufbewahrung der elektronischen Hinterlegungsakten. § 298a Abs. 1 Satz 4 Halbsatz 1 und Abs. 2 sowie § 299 Abs. 3 der Zivilprozessordnung (ZPO) gelten entsprechend.</w:t>
      </w:r>
    </w:p>
    <w:p>
      <w:r>
        <w:rPr>
          <w:color w:val="555555"/>
          <w:sz w:val="17"/>
        </w:rPr>
        <w:t xml:space="preserve">Zitiervorschlag: Art 6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