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BayHintG (Bayern) — Beteiligte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Am Hinterlegungsverfahren ist beteiligt, wer</w:t>
      </w:r>
    </w:p>
    <w:p>
      <w:r>
        <w:t xml:space="preserve">1. die Annahme zur Hinterlegung nach Art. 11 beantragt (Hinterleger),</w:t>
      </w:r>
    </w:p>
    <w:p>
      <w:r>
        <w:t xml:space="preserve">2. in dem Antrag nach Art. 11 als möglicher Empfänger bezeichnet wird,</w:t>
      </w:r>
    </w:p>
    <w:p>
      <w:r>
        <w:t xml:space="preserve">3. vom Hinterleger nach Erlass der Annahmeanordnung gegenüber der Hinterlegungsstelle als möglicher Empfänger bezeichnet wird,</w:t>
      </w:r>
    </w:p>
    <w:p>
      <w:r>
        <w:t xml:space="preserve">4. in dem Antrag nach Art. 19 als Empfänger bezeichnet wird.</w:t>
      </w:r>
    </w:p>
    <w:p>
      <w:r>
        <w:t xml:space="preserve">(2) Ist zur Befreiung von einer Verbindlichkeit hinterlegt, kann der Hinterleger eine Bezeichnung nach Abs. 1 Nr. 2 oder 3 gegenüber der Hinterlegungsstelle widerrufen. Mit dem Widerruf ist der Bezeichnete nicht mehr Beteiligter.</w:t>
      </w:r>
    </w:p>
    <w:p>
      <w:r>
        <w:t xml:space="preserve">(3) Beteiligt sind ferner Behörden oder Gerichte, die ein Ersuchen an die Hinterlegungsstelle richten.</w:t>
      </w:r>
    </w:p>
    <w:p>
      <w:r>
        <w:rPr>
          <w:color w:val="555555"/>
          <w:sz w:val="17"/>
        </w:rPr>
        <w:t xml:space="preserve">Zitiervorschlag: Art 5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