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BayHintG (Bayern) — Übergangsbestimmungen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Inkrafttreten dieses Gesetzes anhängige Klagen und Rechtsbehelfsverfahren in Hinterlegungssachen sind nach der bis zum Ablauf des 30. November 2010 geltenden Rechtslage abzuschließen.</w:t>
      </w:r>
    </w:p>
    <w:p>
      <w:r>
        <w:t xml:space="preserve">(2) In Hinterlegungssachen angefallene Zinsen werden mit Ablauf des 30. November 2010 fällig.</w:t>
      </w:r>
    </w:p>
    <w:p>
      <w:r>
        <w:t xml:space="preserve">(3) Bei den in § 21 Abs. 3 der Hinterlegungsordnung genannten Fällen beginnt die Ausschlussfrist gemäß Art. 24 am Tag des Inkrafttretens dieses Gesetzes.</w:t>
      </w:r>
    </w:p>
    <w:p>
      <w:r>
        <w:t xml:space="preserve">(4) Hat in Hinterlegungssachen vor dem 1. Dezember 2010 die Frist gemäß § 22 der Hinterlegungsordnung neu begonnen, so gilt diese Bestimmung insoweit fort.</w:t>
      </w:r>
    </w:p>
    <w:p>
      <w:r>
        <w:rPr>
          <w:color w:val="555555"/>
          <w:sz w:val="17"/>
        </w:rPr>
        <w:t xml:space="preserve">Zitiervorschlag: Art 29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