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BayHintG (Bayern) — Hinterlegung von Wertpapieren bei Kreditinstituten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in Art. 22 genannten Fällen kann auch bei der Deutschen Bundesbank hinterlegt werden. Das gilt auch dann, wenn nach stiftungs- oder fideikommissrechtlichen Vorschriften oder Anordnungen bei einer Justizbehörde zu hinterlegen ist.</w:t>
      </w:r>
    </w:p>
    <w:p>
      <w:r>
        <w:t xml:space="preserve">(2) Das Staatsministerium kann weitere Kreditinstitute für die Hinterlegung in den Fällen des Abs. 1 durch Bekanntmachung bestimmen.</w:t>
      </w:r>
    </w:p>
    <w:p>
      <w:r>
        <w:rPr>
          <w:color w:val="555555"/>
          <w:sz w:val="17"/>
        </w:rPr>
        <w:t xml:space="preserve">Zitiervorschlag: Art 27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