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BayHintG (Bayern) — Vollziehung der Herausgabe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Herausgabe erfolgt</w:t>
      </w:r>
    </w:p>
    <w:p>
      <w:r>
        <w:t xml:space="preserve">1. bei Geldsummen durch Gutschrift des Betrags auf einem Konto des Empfängers oder durch Auszahlung der Hinterlegungskasse,</w:t>
      </w:r>
    </w:p>
    <w:p>
      <w:r>
        <w:t xml:space="preserve">2. bei Wertpapierguthaben durch Übertragung auf ein Depotkonto des Empfängers,</w:t>
      </w:r>
    </w:p>
    <w:p>
      <w:r>
        <w:t xml:space="preserve">3. im Übrigen durch Übergabe des hinterlegten Gegenstands an den Empfänger bei der zuständigen Hinterlegungsstelle.</w:t>
      </w:r>
    </w:p>
    <w:p>
      <w:r>
        <w:rPr>
          <w:color w:val="555555"/>
          <w:sz w:val="17"/>
        </w:rPr>
        <w:t xml:space="preserve">Zitiervorschlag: Art 23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