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22 BayHintG (Bayern) — Genehmigung der Herausgabe</w:t>
      </w:r>
    </w:p>
    <w:p>
      <w:r>
        <w:rPr>
          <w:color w:val="555555"/>
          <w:sz w:val="18"/>
        </w:rPr>
        <w:t xml:space="preserve">Bayerisches Hinterlegungsgesetz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Herausgabe bedarf</w:t>
      </w:r>
    </w:p>
    <w:p>
      <w:r>
        <w:t xml:space="preserve">1. der Genehmigung der Aufsichtsbehörde der Stiftung, wenn Gegenstände, die zu dem Vermögen einer Stiftung gehören, auf Grund stiftungsrechtlicher Vorschriften oder Anordnungen hinterlegt sind,</w:t>
      </w:r>
    </w:p>
    <w:p>
      <w:r>
        <w:t xml:space="preserve">2. der Genehmigung der Fideikommissbehörde, wenn Gegenstände, die zu einem Familienfideikommiss gehören oder gehört haben, auf Grund fideikommissrechtlicher Vorschriften oder Anordnungen hinterlegt sind; Entsprechendes gilt für Lehen, Stammgüter und sonstige gebundene Vermögen sowie Hausgüter und Hausvermögen.</w:t>
      </w:r>
    </w:p>
    <w:p>
      <w:r>
        <w:rPr>
          <w:color w:val="555555"/>
          <w:sz w:val="17"/>
        </w:rPr>
        <w:t xml:space="preserve">Zitiervorschlag: Art 22 BayHintG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https://recht.nulegal.eu/gesetze/BayHintG/22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