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BayHintG (Bayern) — Erklärung über die Bewilligung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Legt der Antragsteller die nach Art. 20 Abs. 1 Nr. 2 erforderliche Bewilligung eines Beteiligten nicht vor, fordert die Hinterlegungsstelle auf seinen Antrag den Beteiligten zur Erteilung oder Ablehnung der Bewilligung binnen eines Monats auf. Die Aufforderung nach Satz 1 ist dem Beteiligten zuzustellen; auf die Rechtsfolge des Abs. 2 ist hinzuweisen.</w:t>
      </w:r>
    </w:p>
    <w:p>
      <w:r>
        <w:t xml:space="preserve">(2) Geht die gemäß Abs. 1 angeforderte Erklärung des Beteiligten bei der Hinterlegungsstelle nicht fristgerecht ein, so gilt die Bewilligung als erteilt.</w:t>
      </w:r>
    </w:p>
    <w:p>
      <w:r>
        <w:rPr>
          <w:color w:val="555555"/>
          <w:sz w:val="17"/>
        </w:rPr>
        <w:t xml:space="preserve">Zitiervorschlag: Art 21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