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BayHintG (Bayern) — Empfangsberechtigung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Berechtigung zum Empfang des hinterlegten Gegenstands ergibt sich</w:t>
      </w:r>
    </w:p>
    <w:p>
      <w:r>
        <w:t xml:space="preserve">1. aus der Ausübung eines Rechts des Hinterlegers, den hinterlegten Gegenstand zurückzunehmen,</w:t>
      </w:r>
    </w:p>
    <w:p>
      <w:r>
        <w:t xml:space="preserve">2. aus einer Herausgabebewilligung der übrigen Beteiligten, die diese schriftlich, in elektronischer Form oder zu Protokoll der Geschäftsstelle erklärt haben; die Bewilligung ist unwiderruflich,</w:t>
      </w:r>
    </w:p>
    <w:p>
      <w:r>
        <w:t xml:space="preserve">3. aus einer rechtskräftigen gerichtlichen Entscheidung, die die Empfangsberechtigung mit Wirkung gegen die Beteiligten oder den Freistaat Bayern feststellt.</w:t>
      </w:r>
    </w:p>
    <w:p>
      <w:r>
        <w:t xml:space="preserve">(2) Ist zur Befreiung von einer Verbindlichkeit hinterlegt, so gilt die Bewilligung des Hinterlegers als erteilt, wenn die Rücknahme des hinterlegten Gegenstands gemäß § 376 Abs. 2 BGB ausgeschlossen ist. Dies gilt nicht, wenn das Recht des Gläubigers vom Empfang einer Gegenleistung abhängig gemacht wird.</w:t>
      </w:r>
    </w:p>
    <w:p>
      <w:r>
        <w:t xml:space="preserve">(3) Die Hinterlegungsstelle kann verlangen, dass ihr Erklärungen nach Abs. 1 Nr. 1 oder 2 durch öffentliche oder öffentlich beglaubigte Urkunden nachgewiesen werden. Eine gerichtliche Entscheidung nach Abs. 1 Nr. 3 ist in Ausfertigung vorzulegen.</w:t>
      </w:r>
    </w:p>
    <w:p>
      <w:r>
        <w:rPr>
          <w:color w:val="555555"/>
          <w:sz w:val="17"/>
        </w:rPr>
        <w:t xml:space="preserve">Zitiervorschlag: Art 20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