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BayHintG (Bayern) — Benachrichtigungen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Hinterlegungsstelle benachrichtigt</w:t>
      </w:r>
    </w:p>
    <w:p>
      <w:r>
        <w:t xml:space="preserve">1. von der Hinterlegung eines Sparbuchs den Aussteller des Sparbuchs,</w:t>
      </w:r>
    </w:p>
    <w:p>
      <w:r>
        <w:t xml:space="preserve">2. von einer Hinterlegung für unbekannte Erben das zuständige Nachlassgericht,</w:t>
      </w:r>
    </w:p>
    <w:p>
      <w:r>
        <w:t xml:space="preserve">3. von der Hinterlegung für einen Minderjährigen das zuständige Familiengericht,</w:t>
      </w:r>
    </w:p>
    <w:p>
      <w:r>
        <w:t xml:space="preserve">4. von der Hinterlegung für einen Betreuten oder im Rahmen eines Betreuungsverfahrens das zuständige Betreuungsgericht,</w:t>
      </w:r>
    </w:p>
    <w:p>
      <w:r>
        <w:t xml:space="preserve">5. von der Hinterlegung des Bargebots das zuständige Vollstreckungsgericht,</w:t>
      </w:r>
    </w:p>
    <w:p>
      <w:r>
        <w:t xml:space="preserve">6. von der Hinterlegung einer Sicherheit nach den Vorschriften der Strafprozessordnung die zuständige Staatsanwaltschaft.</w:t>
      </w:r>
    </w:p>
    <w:p>
      <w:r>
        <w:t xml:space="preserve">(2) In den Fällen des Abs. 1 teilt die Hinterlegungsstelle den Namen, die Firma sowie die Anschrift der Beteiligten oder des Erblassers mit.</w:t>
      </w:r>
    </w:p>
    <w:p>
      <w:r>
        <w:t xml:space="preserve">(3) Wurde eine Empfängerbezeichnung nach Art. 5 Abs. 2 Satz 1 widerrufen, benachrichtigt die Hinterlegungsstelle den Betroffenen vom Widerruf.</w:t>
      </w:r>
    </w:p>
    <w:p>
      <w:r>
        <w:rPr>
          <w:color w:val="555555"/>
          <w:sz w:val="17"/>
        </w:rPr>
        <w:t xml:space="preserve">Zitiervorschlag: Art 15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