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BayHintG (Bayern) — Anzeige der Hinterlegung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Hat der Hinterleger einen Vorbehalt nach Art. 11 Abs. 2 Nr. 5 erklärt, so hat er der Hinterlegungsstelle binnen eines Monats nach Vollziehung der Hinterlegung nachzuweisen, dass und wann der Gläubiger die Anzeige nach § 374 Abs. 2 BGB empfangen hat. Wird der Nachweis nicht erbracht oder hat der Hinterleger einen Vorbehalt nach Art. 11 Abs. 2 Nr. 5 nicht erklärt, gilt die Hinterlegungsstelle als ermächtigt, die Anzeige für den Hinterleger vorzunehmen.</w:t>
      </w:r>
    </w:p>
    <w:p>
      <w:r>
        <w:t xml:space="preserve">(2) Eine Anzeige nach Abs. 1 Satz 2 ist den weiteren Beteiligten zuzustellen.</w:t>
      </w:r>
    </w:p>
    <w:p>
      <w:r>
        <w:rPr>
          <w:color w:val="555555"/>
          <w:sz w:val="17"/>
        </w:rPr>
        <w:t xml:space="preserve">Zitiervorschlag: Art 14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