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BayHintG (Bayern) — Staatliche Pflichten aus dem Hinterlegungsverhältnis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Kraft des Hinterlegungsverhältnisses ist der Freistaat Bayern gegenüber dem Empfangsberechtigten verpflichtet,</w:t>
      </w:r>
    </w:p>
    <w:p>
      <w:r>
        <w:t xml:space="preserve">1. bei Geldhinterlegungen nach Anordnung der Herausgabe den der hinterlegten Geldsumme entsprechenden Betrag gemäß Art. 23 Nr. 1 auszuzahlen,</w:t>
      </w:r>
    </w:p>
    <w:p>
      <w:r>
        <w:t xml:space="preserve">2. bei Werthinterlegungen den hinterlegten Gegenstand ordnungsgemäß zu verwahren und zu verwalten sowie diesen nach Anordnung der Herausgabe gemäß Art. 23 Nr. 2 oder 3 herauszugeben.</w:t>
      </w:r>
    </w:p>
    <w:p>
      <w:r>
        <w:rPr>
          <w:color w:val="555555"/>
          <w:sz w:val="17"/>
        </w:rPr>
        <w:t xml:space="preserve">Zitiervorschlag: Art 13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